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1CAFC" w14:textId="77777777" w:rsidR="00C03E24" w:rsidRDefault="005775B1">
      <w:pPr>
        <w:spacing w:line="4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</w:t>
      </w:r>
      <w:r>
        <w:rPr>
          <w:rFonts w:ascii="方正小标宋简体" w:eastAsia="方正小标宋简体"/>
          <w:sz w:val="36"/>
          <w:szCs w:val="36"/>
        </w:rPr>
        <w:t>021-2022</w:t>
      </w:r>
      <w:r>
        <w:rPr>
          <w:rFonts w:ascii="方正小标宋简体" w:eastAsia="方正小标宋简体" w:hint="eastAsia"/>
          <w:sz w:val="36"/>
          <w:szCs w:val="36"/>
        </w:rPr>
        <w:t>学年优秀教师推荐表</w:t>
      </w:r>
    </w:p>
    <w:tbl>
      <w:tblPr>
        <w:tblW w:w="8480" w:type="dxa"/>
        <w:tblLook w:val="04A0" w:firstRow="1" w:lastRow="0" w:firstColumn="1" w:lastColumn="0" w:noHBand="0" w:noVBand="1"/>
      </w:tblPr>
      <w:tblGrid>
        <w:gridCol w:w="1353"/>
        <w:gridCol w:w="1881"/>
        <w:gridCol w:w="827"/>
        <w:gridCol w:w="1220"/>
        <w:gridCol w:w="1483"/>
        <w:gridCol w:w="1716"/>
      </w:tblGrid>
      <w:tr w:rsidR="00C03E24" w14:paraId="2A4E30B1" w14:textId="77777777">
        <w:trPr>
          <w:trHeight w:val="8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E41D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姓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名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F9B7" w14:textId="62FF5777" w:rsidR="00C03E24" w:rsidRDefault="00EA660B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  <w:t>张利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B9867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学院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286BA" w14:textId="20D3D99B" w:rsidR="00C03E24" w:rsidRDefault="00EA660B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  <w:t>林学院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6936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工号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F5B7" w14:textId="7A4FC541" w:rsidR="00C03E24" w:rsidRPr="00EA660B" w:rsidRDefault="00EA660B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 w:rsidRPr="00EA660B"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2014110047</w:t>
            </w:r>
          </w:p>
        </w:tc>
      </w:tr>
      <w:tr w:rsidR="00C03E24" w14:paraId="1A707536" w14:textId="77777777">
        <w:trPr>
          <w:trHeight w:val="7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ECD85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师德师风与教学信用</w:t>
            </w:r>
          </w:p>
          <w:p w14:paraId="110F2B48" w14:textId="77777777" w:rsidR="00C03E24" w:rsidRDefault="005775B1" w:rsidP="003621D0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 w:rsidRPr="003621D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（填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2022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年师德师</w:t>
            </w:r>
            <w:proofErr w:type="gramStart"/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风考核</w:t>
            </w:r>
            <w:proofErr w:type="gramEnd"/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结果</w:t>
            </w:r>
            <w:r w:rsidRPr="003621D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和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2021-2022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学年教学信</w:t>
            </w:r>
            <w:r w:rsidRPr="003621D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用记录）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576E" w14:textId="7B12EFCE" w:rsidR="00C03E24" w:rsidRPr="00BB4455" w:rsidRDefault="00654695">
            <w:pPr>
              <w:widowControl/>
              <w:spacing w:line="440" w:lineRule="exact"/>
              <w:jc w:val="left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师德师</w:t>
            </w:r>
            <w:proofErr w:type="gramStart"/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风</w:t>
            </w:r>
            <w:r w:rsid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考核</w:t>
            </w:r>
            <w:proofErr w:type="gramEnd"/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合格</w:t>
            </w:r>
            <w:r w:rsid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，年度工作考核优秀</w:t>
            </w:r>
          </w:p>
          <w:p w14:paraId="2B749D88" w14:textId="77777777" w:rsidR="00654695" w:rsidRPr="00BB4455" w:rsidRDefault="00654695">
            <w:pPr>
              <w:widowControl/>
              <w:spacing w:line="440" w:lineRule="exact"/>
              <w:jc w:val="left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BB445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教学信用95分</w:t>
            </w:r>
          </w:p>
          <w:p w14:paraId="0DFC12F8" w14:textId="05E54CDC" w:rsidR="00AF05D1" w:rsidRDefault="00AF05D1">
            <w:pPr>
              <w:widowControl/>
              <w:spacing w:line="440" w:lineRule="exact"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院级先进个人</w:t>
            </w:r>
          </w:p>
        </w:tc>
      </w:tr>
      <w:tr w:rsidR="00C03E24" w14:paraId="3D43AA63" w14:textId="77777777">
        <w:trPr>
          <w:trHeight w:val="7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462C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教学工作量与开课情况</w:t>
            </w:r>
          </w:p>
          <w:p w14:paraId="1A89F09C" w14:textId="77777777" w:rsidR="00C03E24" w:rsidRPr="003621D0" w:rsidRDefault="005775B1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30"/>
                <w:szCs w:val="30"/>
              </w:rPr>
            </w:pPr>
            <w:r w:rsidRPr="003621D0">
              <w:rPr>
                <w:rFonts w:asciiTheme="minorEastAsia" w:eastAsiaTheme="minorEastAsia" w:hAnsiTheme="minorEastAsia" w:hint="eastAsia"/>
                <w:b/>
                <w:bCs/>
                <w:kern w:val="0"/>
                <w:szCs w:val="21"/>
              </w:rPr>
              <w:t>（填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  <w:t>2021-2022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  <w:t>学年情况</w:t>
            </w:r>
            <w:r w:rsidRPr="003621D0">
              <w:rPr>
                <w:rFonts w:asciiTheme="minorEastAsia" w:eastAsiaTheme="minorEastAsia" w:hAnsiTheme="minorEastAsia" w:hint="eastAsia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40708" w14:textId="67659410" w:rsidR="00EA660B" w:rsidRPr="00EA57E5" w:rsidRDefault="00EA660B" w:rsidP="00EA660B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1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主讲木材1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2/1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3班《木质家具制造工艺学》课程，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小班上课，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理论工作量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共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64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学时。</w:t>
            </w:r>
          </w:p>
          <w:p w14:paraId="6FBE8469" w14:textId="134E17CD" w:rsidR="00EA660B" w:rsidRPr="00EA57E5" w:rsidRDefault="00EA660B" w:rsidP="00EA660B">
            <w:pPr>
              <w:widowControl/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2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主讲木材1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1/1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2/1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3班《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木制品智能制造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》课程，</w:t>
            </w:r>
            <w:r w:rsidR="00261E1F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分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班上课，理论工作量共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64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学时。</w:t>
            </w:r>
          </w:p>
          <w:p w14:paraId="265FF85E" w14:textId="661B4165" w:rsidR="002D2514" w:rsidRPr="00EA57E5" w:rsidRDefault="002D2514" w:rsidP="00EA660B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3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主讲木材1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1/1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2/1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3班《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木制品</w:t>
            </w:r>
            <w:r w:rsidR="00261E1F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智能制造实训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》，实践工作量</w:t>
            </w:r>
            <w:r w:rsidR="00261E1F"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2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周共64学时。</w:t>
            </w:r>
          </w:p>
          <w:p w14:paraId="7AEAAD6C" w14:textId="45F5EB25" w:rsidR="00EA660B" w:rsidRPr="00EA57E5" w:rsidRDefault="002D2514" w:rsidP="00EA660B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4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主讲木材182/183班《木质家具制造工艺学课程设计》，</w:t>
            </w:r>
            <w:r w:rsidR="00EA57E5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分班上课，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实践工作量1周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共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64学时。</w:t>
            </w:r>
          </w:p>
          <w:p w14:paraId="70F3426E" w14:textId="1DDE81AD" w:rsidR="00261E1F" w:rsidRPr="00EA57E5" w:rsidRDefault="00261E1F" w:rsidP="00EA660B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5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参与木材1</w:t>
            </w: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9</w:t>
            </w:r>
            <w:r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1班的专业综合实习，实践工作量2周共32学时。</w:t>
            </w:r>
          </w:p>
          <w:p w14:paraId="3C8E619D" w14:textId="5397A1C2" w:rsidR="00C03E24" w:rsidRPr="00EA57E5" w:rsidRDefault="002D2514" w:rsidP="00EA57E5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6</w:t>
            </w:r>
            <w:r w:rsid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指导</w:t>
            </w:r>
            <w:r w:rsidR="00261E1F"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5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名本科毕业生，其中</w:t>
            </w:r>
            <w:r w:rsidR="005D32C8" w:rsidRP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1名学生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的</w:t>
            </w:r>
            <w:r w:rsidR="005D32C8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毕业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论文获得院级优秀论文，论文指导工作量</w:t>
            </w:r>
            <w:r w:rsidR="00EA57E5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70</w:t>
            </w:r>
            <w:r w:rsidR="00EA660B" w:rsidRPr="00EA57E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学时。</w:t>
            </w:r>
          </w:p>
        </w:tc>
      </w:tr>
      <w:tr w:rsidR="00C03E24" w14:paraId="57F9D145" w14:textId="77777777">
        <w:trPr>
          <w:trHeight w:val="641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7673" w14:textId="77777777" w:rsidR="00C03E24" w:rsidRDefault="005775B1" w:rsidP="006D2B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教学质量综合评价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EA2D7" w14:textId="41D66331" w:rsidR="00C03E24" w:rsidRDefault="004E53C0" w:rsidP="00471898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4E53C0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教学质量综合评价排名在本单位同职称人员</w:t>
            </w:r>
            <w:r w:rsidRPr="004E53C0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中排名第一。</w:t>
            </w:r>
          </w:p>
        </w:tc>
      </w:tr>
      <w:tr w:rsidR="00C03E24" w14:paraId="4FF1FFEC" w14:textId="77777777">
        <w:trPr>
          <w:trHeight w:val="7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E22A1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bookmarkStart w:id="0" w:name="_Hlk108629364"/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教学改革与创新</w:t>
            </w:r>
          </w:p>
          <w:bookmarkEnd w:id="0"/>
          <w:p w14:paraId="55E336CE" w14:textId="77777777" w:rsidR="00C03E24" w:rsidRPr="003621D0" w:rsidRDefault="005775B1">
            <w:pPr>
              <w:widowControl/>
              <w:spacing w:line="440" w:lineRule="exact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 w:rsidRPr="003621D0"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（</w:t>
            </w:r>
            <w:bookmarkStart w:id="1" w:name="_Hlk108629382"/>
            <w:r w:rsidRPr="003621D0">
              <w:rPr>
                <w:rFonts w:ascii="宋体" w:eastAsia="宋体" w:hAnsi="宋体" w:hint="eastAsia"/>
                <w:b/>
                <w:bCs/>
                <w:kern w:val="0"/>
                <w:szCs w:val="21"/>
              </w:rPr>
              <w:t>填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2021-2022</w:t>
            </w:r>
            <w:r w:rsidRPr="003621D0">
              <w:rPr>
                <w:rFonts w:ascii="宋体" w:eastAsia="宋体" w:hAnsi="宋体"/>
                <w:b/>
                <w:bCs/>
                <w:kern w:val="0"/>
                <w:szCs w:val="21"/>
              </w:rPr>
              <w:t>学年参与专业建设、课程建设及实验室建设、教学改革与研究等相关工作的投入</w:t>
            </w:r>
            <w:bookmarkEnd w:id="1"/>
            <w:r w:rsidRPr="003621D0"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C5B9" w14:textId="0220FBE9" w:rsidR="001C5EF7" w:rsidRPr="001C5EF7" w:rsidRDefault="00471898" w:rsidP="001C5EF7">
            <w:pPr>
              <w:widowControl/>
              <w:spacing w:line="440" w:lineRule="exact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1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="001C5EF7"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主持获批校级教改一般项目《木质家具制造工艺学课程的研究导向型教学模式改革》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。</w:t>
            </w:r>
          </w:p>
          <w:p w14:paraId="195AEAE5" w14:textId="5664F72D" w:rsidR="001C5EF7" w:rsidRPr="001C5EF7" w:rsidRDefault="00471898" w:rsidP="001C5EF7">
            <w:pPr>
              <w:widowControl/>
              <w:spacing w:line="440" w:lineRule="exact"/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2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．</w:t>
            </w:r>
            <w:r w:rsidR="001C5EF7"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参与校级教改重点项目《产学合作协同育人的创新人才培养模式研究》，排名第5。</w:t>
            </w:r>
          </w:p>
        </w:tc>
      </w:tr>
      <w:tr w:rsidR="00C03E24" w14:paraId="4DB9ED4A" w14:textId="77777777">
        <w:trPr>
          <w:trHeight w:val="7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3EB6F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bookmarkStart w:id="2" w:name="_Hlk108629437"/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教学成果与贡献</w:t>
            </w:r>
          </w:p>
          <w:bookmarkEnd w:id="2"/>
          <w:p w14:paraId="559BCDFA" w14:textId="77777777" w:rsidR="00C03E24" w:rsidRPr="003621D0" w:rsidRDefault="005775B1">
            <w:pPr>
              <w:widowControl/>
              <w:spacing w:line="440" w:lineRule="exact"/>
              <w:jc w:val="center"/>
              <w:rPr>
                <w:rFonts w:asciiTheme="minorEastAsia" w:eastAsiaTheme="minorEastAsia" w:hAnsiTheme="minor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3621D0">
              <w:rPr>
                <w:rStyle w:val="fontstyle01"/>
                <w:rFonts w:asciiTheme="minorEastAsia" w:eastAsiaTheme="minorEastAsia" w:hAnsiTheme="minorEastAsia" w:hint="default"/>
                <w:b/>
                <w:bCs/>
                <w:sz w:val="21"/>
                <w:szCs w:val="21"/>
              </w:rPr>
              <w:t>（</w:t>
            </w:r>
            <w:r w:rsidRPr="003621D0">
              <w:rPr>
                <w:rFonts w:asciiTheme="minorEastAsia" w:eastAsiaTheme="minorEastAsia" w:hAnsiTheme="minorEastAsia" w:hint="eastAsia"/>
                <w:b/>
                <w:bCs/>
                <w:kern w:val="0"/>
              </w:rPr>
              <w:t>填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  <w:t>2021-2022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  <w:szCs w:val="21"/>
              </w:rPr>
              <w:t>学年在教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</w:rPr>
              <w:t>学成</w:t>
            </w:r>
            <w:r w:rsidRPr="003621D0">
              <w:rPr>
                <w:rStyle w:val="fontstyle01"/>
                <w:rFonts w:asciiTheme="minorEastAsia" w:eastAsiaTheme="minorEastAsia" w:hAnsiTheme="minorEastAsia" w:hint="default"/>
                <w:b/>
                <w:bCs/>
                <w:sz w:val="21"/>
                <w:szCs w:val="21"/>
              </w:rPr>
              <w:t>果、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</w:rPr>
              <w:t>专业建设、课程建设及教材建设、教学类竞赛等方面取得的成果和</w:t>
            </w:r>
            <w:r w:rsidRPr="003621D0">
              <w:rPr>
                <w:rFonts w:asciiTheme="minorEastAsia" w:eastAsiaTheme="minorEastAsia" w:hAnsiTheme="minorEastAsia"/>
                <w:b/>
                <w:bCs/>
                <w:kern w:val="0"/>
              </w:rPr>
              <w:lastRenderedPageBreak/>
              <w:t>贡献</w:t>
            </w:r>
            <w:r w:rsidRPr="003621D0">
              <w:rPr>
                <w:rStyle w:val="fontstyle01"/>
                <w:rFonts w:asciiTheme="minorEastAsia" w:eastAsiaTheme="minorEastAsia" w:hAnsiTheme="minorEastAsia" w:hint="default"/>
                <w:b/>
                <w:bCs/>
                <w:sz w:val="21"/>
                <w:szCs w:val="21"/>
              </w:rPr>
              <w:t>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59E0" w14:textId="77777777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lastRenderedPageBreak/>
              <w:t>负责的《定制家具智能制造虚拟仿真实验》获得校级一流本科课程认定</w:t>
            </w:r>
            <w:r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。</w:t>
            </w:r>
          </w:p>
          <w:p w14:paraId="0FE9C895" w14:textId="77777777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参与的《木制品生产工艺学</w:t>
            </w:r>
            <w:r w:rsidRPr="00A2585D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》获批校级线下一流本科课程认定</w:t>
            </w:r>
            <w:r w:rsidRPr="00A2585D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。</w:t>
            </w:r>
          </w:p>
          <w:p w14:paraId="13F9EE53" w14:textId="77777777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lastRenderedPageBreak/>
              <w:t>参与获批《木质模型设计与制作》校级规划教材建设项目。</w:t>
            </w:r>
          </w:p>
          <w:p w14:paraId="1B4B8AFD" w14:textId="77777777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完成六门课程的课程质量标准及</w:t>
            </w:r>
            <w:proofErr w:type="gramStart"/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课程思政案例</w:t>
            </w:r>
            <w:proofErr w:type="gramEnd"/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或课程</w:t>
            </w:r>
            <w:proofErr w:type="gramStart"/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思政教学</w:t>
            </w:r>
            <w:proofErr w:type="gramEnd"/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设计编写工作。</w:t>
            </w:r>
          </w:p>
          <w:p w14:paraId="67572B42" w14:textId="77777777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积极参加讲课比赛，获学院二等奖、学校三等奖。</w:t>
            </w:r>
          </w:p>
          <w:p w14:paraId="5E7C9360" w14:textId="252A4ABD" w:rsidR="001C5EF7" w:rsidRDefault="001C5EF7" w:rsidP="001C5EF7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指导学生申请获批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国家级</w:t>
            </w:r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大学生</w:t>
            </w:r>
            <w:proofErr w:type="gramStart"/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科创项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目</w:t>
            </w:r>
            <w:proofErr w:type="gramEnd"/>
            <w:r w:rsidR="00471898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1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项</w:t>
            </w:r>
            <w:r w:rsidRPr="001C5EF7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。</w:t>
            </w:r>
          </w:p>
          <w:p w14:paraId="63CFF75A" w14:textId="33153C8B" w:rsidR="00BB4455" w:rsidRPr="00BB4455" w:rsidRDefault="001C5EF7" w:rsidP="00BB4455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负责组织校级学科竞赛“TATA木门杯创意设计大赛”</w:t>
            </w:r>
            <w:r w:rsidR="00EC4A42"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，学生获全国一等奖</w:t>
            </w:r>
            <w:r w:rsidR="004D241B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1</w:t>
            </w:r>
            <w:r w:rsidR="00EC4A42"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项</w:t>
            </w: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；</w:t>
            </w:r>
          </w:p>
          <w:p w14:paraId="20869FFC" w14:textId="77777777" w:rsidR="00AF05D1" w:rsidRPr="00BB4455" w:rsidRDefault="001C5EF7" w:rsidP="00BB4455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作为教练，指导学生参加全国工业设计职业技能大赛（家具设计师赛项）决赛。</w:t>
            </w:r>
          </w:p>
          <w:p w14:paraId="2C943B76" w14:textId="5D8B0804" w:rsidR="00BB4455" w:rsidRPr="00AF05D1" w:rsidRDefault="00BB4455" w:rsidP="00BB4455">
            <w:pPr>
              <w:pStyle w:val="a5"/>
              <w:widowControl/>
              <w:numPr>
                <w:ilvl w:val="0"/>
                <w:numId w:val="1"/>
              </w:numPr>
              <w:spacing w:line="440" w:lineRule="exact"/>
              <w:ind w:firstLineChars="0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BB4455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指导学生参加</w:t>
            </w:r>
            <w:r w:rsidR="004D241B"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2022年中国大学生计算机设计大赛，获西北赛区二等奖。</w:t>
            </w:r>
          </w:p>
        </w:tc>
      </w:tr>
      <w:tr w:rsidR="00C03E24" w14:paraId="7EDD4223" w14:textId="77777777">
        <w:trPr>
          <w:trHeight w:val="75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1E66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lastRenderedPageBreak/>
              <w:t>教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育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教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学</w:t>
            </w:r>
          </w:p>
          <w:p w14:paraId="21882C30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突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出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表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现</w:t>
            </w:r>
          </w:p>
          <w:p w14:paraId="0013EE1B" w14:textId="77777777" w:rsidR="00C03E24" w:rsidRDefault="00C03E24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</w:p>
          <w:p w14:paraId="17A22BEC" w14:textId="77777777" w:rsidR="00C03E24" w:rsidRDefault="005775B1">
            <w:pPr>
              <w:widowControl/>
              <w:spacing w:line="440" w:lineRule="exact"/>
              <w:jc w:val="center"/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（教师在教育教学方面的优势、特色或典型事迹，限</w:t>
            </w: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5</w:t>
            </w:r>
            <w:r>
              <w:rPr>
                <w:rFonts w:ascii="宋体" w:eastAsia="宋体" w:hAnsi="宋体"/>
                <w:b/>
                <w:bCs/>
                <w:color w:val="000000"/>
                <w:kern w:val="0"/>
                <w:szCs w:val="21"/>
              </w:rPr>
              <w:t>00</w:t>
            </w:r>
            <w:r>
              <w:rPr>
                <w:rFonts w:ascii="宋体" w:eastAsia="宋体" w:hAnsi="宋体" w:hint="eastAsia"/>
                <w:b/>
                <w:bCs/>
                <w:color w:val="000000"/>
                <w:kern w:val="0"/>
                <w:szCs w:val="21"/>
              </w:rPr>
              <w:t>字）</w:t>
            </w: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BB35C" w14:textId="466835CC" w:rsidR="00C03E24" w:rsidRDefault="00AF05D1" w:rsidP="0011700B">
            <w:pPr>
              <w:widowControl/>
              <w:spacing w:line="440" w:lineRule="exact"/>
              <w:ind w:firstLineChars="200" w:firstLine="480"/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</w:pPr>
            <w:r w:rsidRPr="00AF05D1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重视学生能力提升，</w:t>
            </w:r>
            <w:r w:rsidR="0011700B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培养学生创新素质。以课程教学改革为抓手，探索研究导向型教学模式改革，以木艺坊的设备条件为资源，以智慧教学工具为辅助，</w:t>
            </w:r>
            <w:r w:rsidR="0011700B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延伸课堂</w:t>
            </w:r>
            <w:r w:rsidR="0011700B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空间与时间</w:t>
            </w:r>
            <w:r w:rsidR="0011700B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维度，</w:t>
            </w:r>
            <w:r w:rsidR="0011700B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强化理论教学与实践教学相结合，促进学生家具制造能力提升。</w:t>
            </w:r>
            <w:bookmarkStart w:id="3" w:name="_GoBack"/>
            <w:bookmarkEnd w:id="3"/>
          </w:p>
          <w:p w14:paraId="2DED2CD2" w14:textId="125CF782" w:rsidR="001C5EF7" w:rsidRDefault="00295420" w:rsidP="00EC4A42">
            <w:pPr>
              <w:widowControl/>
              <w:spacing w:line="440" w:lineRule="exact"/>
              <w:ind w:firstLineChars="200" w:firstLine="480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重视校</w:t>
            </w:r>
            <w:proofErr w:type="gramStart"/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企深入</w:t>
            </w:r>
            <w:proofErr w:type="gramEnd"/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合作，产学研结合培养学生综合素质。不断与各类木制品企业加强合作（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8"/>
              </w:rPr>
              <w:t>TATA、皮阿诺、大自然、欧派木门、索菲亚</w:t>
            </w:r>
            <w:r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），建设实践教学基地，</w:t>
            </w:r>
            <w:r w:rsidR="00EC4A42">
              <w:rPr>
                <w:rFonts w:ascii="仿宋" w:eastAsia="仿宋" w:hAnsi="仿宋"/>
                <w:color w:val="000000"/>
                <w:kern w:val="0"/>
                <w:sz w:val="24"/>
                <w:szCs w:val="28"/>
              </w:rPr>
              <w:t>通过与企业合办学科竞赛，送学生去企业暑假就业实习，增强学生设计创新能力与职业素养。</w:t>
            </w:r>
          </w:p>
        </w:tc>
      </w:tr>
      <w:tr w:rsidR="00C03E24" w14:paraId="536B0BD7" w14:textId="77777777" w:rsidTr="00D003BB">
        <w:trPr>
          <w:trHeight w:val="2542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2136D" w14:textId="77777777" w:rsidR="00C03E24" w:rsidRDefault="00C03E24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</w:p>
          <w:p w14:paraId="1710298C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基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层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党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委</w:t>
            </w:r>
          </w:p>
          <w:p w14:paraId="62169761" w14:textId="77777777" w:rsidR="00C03E24" w:rsidRDefault="00C03E24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</w:p>
          <w:p w14:paraId="17BA54EF" w14:textId="77777777" w:rsidR="00C03E24" w:rsidRDefault="005775B1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推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荐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意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 xml:space="preserve"> </w:t>
            </w:r>
            <w:r>
              <w:rPr>
                <w:rFonts w:ascii="黑体" w:eastAsia="黑体" w:hAnsi="黑体" w:hint="eastAsia"/>
                <w:color w:val="000000"/>
                <w:kern w:val="0"/>
                <w:sz w:val="30"/>
                <w:szCs w:val="30"/>
              </w:rPr>
              <w:t>见</w:t>
            </w:r>
          </w:p>
          <w:p w14:paraId="0DB4373C" w14:textId="77777777" w:rsidR="00C03E24" w:rsidRDefault="00C03E24">
            <w:pPr>
              <w:widowControl/>
              <w:spacing w:line="440" w:lineRule="exact"/>
              <w:jc w:val="center"/>
              <w:rPr>
                <w:rFonts w:ascii="黑体" w:eastAsia="黑体" w:hAnsi="黑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5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D9FB2" w14:textId="77777777" w:rsidR="00C03E24" w:rsidRDefault="00C03E24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5798A119" w14:textId="77777777" w:rsidR="00D003BB" w:rsidRDefault="00D003B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39BF7179" w14:textId="77777777" w:rsidR="004D241B" w:rsidRDefault="004D241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0070F7A4" w14:textId="77777777" w:rsidR="004D241B" w:rsidRDefault="004D241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08D90967" w14:textId="77777777" w:rsidR="004D241B" w:rsidRDefault="004D241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094A5817" w14:textId="77777777" w:rsidR="004D241B" w:rsidRDefault="004D241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1569200A" w14:textId="77777777" w:rsidR="00D003BB" w:rsidRDefault="00D003BB">
            <w:pPr>
              <w:widowControl/>
              <w:spacing w:line="440" w:lineRule="exact"/>
              <w:jc w:val="center"/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</w:pPr>
          </w:p>
          <w:p w14:paraId="7CFEDEF2" w14:textId="77777777" w:rsidR="00D003BB" w:rsidRDefault="00D003BB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77444EF8" w14:textId="77777777" w:rsidR="00C03E24" w:rsidRDefault="00C03E24">
            <w:pPr>
              <w:widowControl/>
              <w:spacing w:line="44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  <w:p w14:paraId="12968219" w14:textId="77777777" w:rsidR="00C03E24" w:rsidRDefault="005775B1">
            <w:pPr>
              <w:widowControl/>
              <w:spacing w:line="440" w:lineRule="exact"/>
              <w:ind w:leftChars="100" w:left="210" w:firstLineChars="192" w:firstLine="538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3621D0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学院负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责人签字：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（盖章）</w:t>
            </w:r>
          </w:p>
          <w:p w14:paraId="160831CC" w14:textId="27C54FF1" w:rsidR="00C03E24" w:rsidRDefault="005775B1" w:rsidP="00D003BB">
            <w:pPr>
              <w:widowControl/>
              <w:spacing w:line="440" w:lineRule="exact"/>
              <w:ind w:firstLineChars="1100" w:firstLine="3080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14:paraId="4CB221CE" w14:textId="77777777" w:rsidR="00C03E24" w:rsidRDefault="00C03E24" w:rsidP="00D003BB">
      <w:pPr>
        <w:ind w:right="840"/>
      </w:pPr>
    </w:p>
    <w:sectPr w:rsidR="00C03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2F4F3A" w14:textId="77777777" w:rsidR="005775B1" w:rsidRDefault="005775B1" w:rsidP="003621D0">
      <w:r>
        <w:separator/>
      </w:r>
    </w:p>
  </w:endnote>
  <w:endnote w:type="continuationSeparator" w:id="0">
    <w:p w14:paraId="1A445651" w14:textId="77777777" w:rsidR="005775B1" w:rsidRDefault="005775B1" w:rsidP="0036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C34412" w14:textId="77777777" w:rsidR="005775B1" w:rsidRDefault="005775B1" w:rsidP="003621D0">
      <w:r>
        <w:separator/>
      </w:r>
    </w:p>
  </w:footnote>
  <w:footnote w:type="continuationSeparator" w:id="0">
    <w:p w14:paraId="559794B4" w14:textId="77777777" w:rsidR="005775B1" w:rsidRDefault="005775B1" w:rsidP="00362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917C4"/>
    <w:multiLevelType w:val="hybridMultilevel"/>
    <w:tmpl w:val="1A00DA52"/>
    <w:lvl w:ilvl="0" w:tplc="37621D1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24"/>
    <w:rsid w:val="00064FEB"/>
    <w:rsid w:val="0011700B"/>
    <w:rsid w:val="001C5EF7"/>
    <w:rsid w:val="00261E1F"/>
    <w:rsid w:val="00295420"/>
    <w:rsid w:val="002A7854"/>
    <w:rsid w:val="002D2514"/>
    <w:rsid w:val="00355A26"/>
    <w:rsid w:val="003621D0"/>
    <w:rsid w:val="00471898"/>
    <w:rsid w:val="004D241B"/>
    <w:rsid w:val="004E53C0"/>
    <w:rsid w:val="005775B1"/>
    <w:rsid w:val="005B0A5B"/>
    <w:rsid w:val="005D32C8"/>
    <w:rsid w:val="00617745"/>
    <w:rsid w:val="00654695"/>
    <w:rsid w:val="006D2BB1"/>
    <w:rsid w:val="00983C3D"/>
    <w:rsid w:val="009C63E0"/>
    <w:rsid w:val="00A2585D"/>
    <w:rsid w:val="00AC5D07"/>
    <w:rsid w:val="00AF05D1"/>
    <w:rsid w:val="00BB4455"/>
    <w:rsid w:val="00C03E24"/>
    <w:rsid w:val="00D003BB"/>
    <w:rsid w:val="00D86182"/>
    <w:rsid w:val="00EA57E5"/>
    <w:rsid w:val="00EA660B"/>
    <w:rsid w:val="00EC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D117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1C5EF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55A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5A2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仿宋" w:eastAsia="仿宋" w:hAnsi="仿宋" w:hint="eastAsia"/>
      <w:b w:val="0"/>
      <w:bCs w:val="0"/>
      <w:i w:val="0"/>
      <w:iCs w:val="0"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1C5EF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355A2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55A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0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0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3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34386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85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731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92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119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69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772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7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228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5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145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031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62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26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15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2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002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601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40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25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3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 bin</dc:creator>
  <cp:lastModifiedBy>张利</cp:lastModifiedBy>
  <cp:revision>75</cp:revision>
  <cp:lastPrinted>2022-07-18T03:55:00Z</cp:lastPrinted>
  <dcterms:created xsi:type="dcterms:W3CDTF">2022-07-12T03:11:00Z</dcterms:created>
  <dcterms:modified xsi:type="dcterms:W3CDTF">2022-07-18T06:13:00Z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98714ce4c6bd46b18323e96495b15864</vt:lpwstr>
  </property>
</Properties>
</file>