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B278">
      <w:pPr>
        <w:adjustRightInd w:val="0"/>
        <w:spacing w:before="156" w:beforeLines="50" w:after="156" w:afterLines="50" w:line="56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bookmarkStart w:id="53" w:name="_GoBack"/>
      <w:bookmarkEnd w:id="53"/>
    </w:p>
    <w:p w14:paraId="044B82A0">
      <w:pPr>
        <w:adjustRightInd w:val="0"/>
        <w:spacing w:before="156" w:beforeLines="50" w:after="156" w:afterLines="50" w:line="560" w:lineRule="exact"/>
        <w:jc w:val="center"/>
        <w:rPr>
          <w:rFonts w:ascii="Times New Roman" w:hAnsi="Times New Roman" w:cs="Times New Roman"/>
          <w:b/>
          <w:kern w:val="0"/>
          <w:sz w:val="42"/>
          <w:szCs w:val="42"/>
        </w:rPr>
      </w:pPr>
      <w:r>
        <w:rPr>
          <w:rFonts w:ascii="Times New Roman" w:hAnsi="Times New Roman" w:cs="Times New Roman"/>
          <w:b/>
          <w:kern w:val="0"/>
          <w:sz w:val="42"/>
          <w:szCs w:val="42"/>
        </w:rPr>
        <w:t>关于2023-2025年度陕西省农业技术推广成果奖</w:t>
      </w:r>
    </w:p>
    <w:p w14:paraId="030C06E4">
      <w:pPr>
        <w:adjustRightInd w:val="0"/>
        <w:spacing w:before="156" w:beforeLines="50" w:after="156" w:afterLines="50" w:line="560" w:lineRule="exact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报奖项目的公示</w:t>
      </w:r>
    </w:p>
    <w:p w14:paraId="63DECDBF">
      <w:pPr>
        <w:adjustRightInd w:val="0"/>
        <w:spacing w:before="156" w:beforeLines="50" w:after="156" w:afterLines="50" w:line="560" w:lineRule="exact"/>
        <w:jc w:val="center"/>
        <w:rPr>
          <w:rFonts w:ascii="Times New Roman" w:hAnsi="Times New Roman" w:cs="Times New Roman"/>
          <w:kern w:val="0"/>
          <w:sz w:val="44"/>
          <w:szCs w:val="44"/>
        </w:rPr>
      </w:pPr>
    </w:p>
    <w:p w14:paraId="337C7C47">
      <w:pPr>
        <w:pStyle w:val="7"/>
        <w:widowControl/>
        <w:spacing w:beforeAutospacing="0" w:after="160" w:afterAutospacing="0"/>
        <w:ind w:left="1417" w:hanging="1417" w:hangingChars="504"/>
        <w:rPr>
          <w:rFonts w:ascii="Times New Roman" w:hAnsi="Times New Roman"/>
          <w:sz w:val="28"/>
          <w:szCs w:val="28"/>
          <w:u w:val="single"/>
          <w:lang w:bidi="ar"/>
        </w:rPr>
      </w:pPr>
      <w:r>
        <w:rPr>
          <w:rFonts w:ascii="Times New Roman" w:hAnsi="Times New Roman"/>
          <w:b/>
          <w:bCs/>
          <w:sz w:val="28"/>
          <w:szCs w:val="28"/>
        </w:rPr>
        <w:t>项目名称</w:t>
      </w:r>
      <w:r>
        <w:rPr>
          <w:rFonts w:ascii="Times New Roman" w:hAnsi="Times New Roman"/>
          <w:sz w:val="28"/>
          <w:szCs w:val="28"/>
        </w:rPr>
        <w:t>：</w:t>
      </w:r>
      <w:bookmarkStart w:id="0" w:name="OLE_LINK8"/>
      <w:bookmarkStart w:id="1" w:name="OLE_LINK7"/>
      <w:r>
        <w:rPr>
          <w:rFonts w:ascii="Times New Roman" w:hAnsi="Times New Roman"/>
          <w:sz w:val="28"/>
          <w:szCs w:val="28"/>
          <w:lang w:bidi="ar"/>
        </w:rPr>
        <w:t>黄土高原生态脆弱区高效植被重构关键技术研发与示范推广</w:t>
      </w:r>
      <w:bookmarkEnd w:id="0"/>
      <w:bookmarkEnd w:id="1"/>
    </w:p>
    <w:p w14:paraId="752DCFC6">
      <w:pPr>
        <w:pStyle w:val="7"/>
        <w:widowControl/>
        <w:spacing w:beforeAutospacing="0" w:after="160" w:afterAutospacing="0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/>
          <w:b/>
          <w:bCs/>
          <w:sz w:val="28"/>
          <w:szCs w:val="28"/>
        </w:rPr>
        <w:t>申报单位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  <w:lang w:bidi="ar"/>
        </w:rPr>
        <w:t>延安市退耕还林工程管理办公室</w:t>
      </w:r>
    </w:p>
    <w:p w14:paraId="08E814AE">
      <w:pPr>
        <w:pStyle w:val="7"/>
        <w:widowControl/>
        <w:spacing w:beforeAutospacing="0" w:after="160" w:afterAutospac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申报等级</w:t>
      </w:r>
      <w:r>
        <w:rPr>
          <w:rFonts w:ascii="Times New Roman" w:hAnsi="Times New Roman"/>
          <w:sz w:val="28"/>
          <w:szCs w:val="28"/>
        </w:rPr>
        <w:t>：一等奖</w:t>
      </w:r>
    </w:p>
    <w:p w14:paraId="558B930B">
      <w:pPr>
        <w:pStyle w:val="7"/>
        <w:widowControl/>
        <w:spacing w:beforeAutospacing="0" w:after="160" w:afterAutospacing="0"/>
        <w:ind w:left="1985" w:hanging="1985" w:hangingChars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主要完成单位</w:t>
      </w:r>
      <w:r>
        <w:rPr>
          <w:rFonts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  <w:lang w:bidi="ar"/>
        </w:rPr>
        <w:t>延安市</w:t>
      </w:r>
      <w:bookmarkStart w:id="2" w:name="OLE_LINK125"/>
      <w:bookmarkStart w:id="3" w:name="OLE_LINK126"/>
      <w:r>
        <w:rPr>
          <w:rFonts w:ascii="Times New Roman" w:hAnsi="Times New Roman"/>
          <w:sz w:val="28"/>
          <w:szCs w:val="28"/>
          <w:lang w:bidi="ar"/>
        </w:rPr>
        <w:t>退耕还林工程管理办公室</w:t>
      </w:r>
      <w:bookmarkEnd w:id="2"/>
      <w:bookmarkEnd w:id="3"/>
      <w:r>
        <w:rPr>
          <w:rFonts w:ascii="Times New Roman" w:hAnsi="Times New Roman"/>
          <w:sz w:val="28"/>
          <w:szCs w:val="28"/>
        </w:rPr>
        <w:t>、中国水利水电科学研究院、西北农林科技大学、水利部沙棘开发管理中心(水利部水土保持植物开发管理中心)、延安大学、吴起县</w:t>
      </w:r>
      <w:r>
        <w:rPr>
          <w:rFonts w:ascii="Times New Roman" w:hAnsi="Times New Roman"/>
          <w:sz w:val="28"/>
          <w:szCs w:val="28"/>
          <w:lang w:bidi="ar"/>
        </w:rPr>
        <w:t>退耕还林工程管理办公室</w:t>
      </w:r>
      <w:r>
        <w:rPr>
          <w:rFonts w:ascii="Times New Roman" w:hAnsi="Times New Roman"/>
          <w:sz w:val="28"/>
          <w:szCs w:val="28"/>
        </w:rPr>
        <w:t>、</w:t>
      </w:r>
      <w:bookmarkStart w:id="4" w:name="OLE_LINK94"/>
      <w:bookmarkStart w:id="5" w:name="OLE_LINK95"/>
      <w:r>
        <w:rPr>
          <w:rFonts w:ascii="Times New Roman" w:hAnsi="Times New Roman"/>
          <w:sz w:val="28"/>
          <w:szCs w:val="28"/>
        </w:rPr>
        <w:t>榆林市榆阳区林业和种苗工作站</w:t>
      </w:r>
      <w:bookmarkEnd w:id="4"/>
      <w:bookmarkEnd w:id="5"/>
      <w:r>
        <w:rPr>
          <w:rFonts w:ascii="Times New Roman" w:hAnsi="Times New Roman"/>
          <w:sz w:val="28"/>
          <w:szCs w:val="28"/>
        </w:rPr>
        <w:t>、</w:t>
      </w:r>
      <w:bookmarkStart w:id="6" w:name="OLE_LINK84"/>
      <w:bookmarkStart w:id="7" w:name="OLE_LINK83"/>
      <w:bookmarkStart w:id="8" w:name="OLE_LINK139"/>
      <w:r>
        <w:rPr>
          <w:rFonts w:ascii="Times New Roman" w:hAnsi="Times New Roman"/>
          <w:sz w:val="28"/>
          <w:szCs w:val="28"/>
        </w:rPr>
        <w:t>鄂尔多斯市高原圣果生态建设开发有限公司</w:t>
      </w:r>
      <w:bookmarkEnd w:id="6"/>
      <w:bookmarkEnd w:id="7"/>
      <w:bookmarkEnd w:id="8"/>
    </w:p>
    <w:p w14:paraId="494306F2">
      <w:pPr>
        <w:pStyle w:val="7"/>
        <w:widowControl/>
        <w:spacing w:beforeAutospacing="0" w:after="160" w:afterAutospacing="0"/>
        <w:ind w:left="1985" w:hanging="1985" w:hangingChars="70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主要完成人员</w:t>
      </w:r>
      <w:r>
        <w:rPr>
          <w:rFonts w:ascii="Times New Roman" w:hAnsi="Times New Roman"/>
          <w:sz w:val="28"/>
          <w:szCs w:val="28"/>
        </w:rPr>
        <w:t>：刘广全、白应飞、艾宁、土小宁、李文华、刘广亮、</w:t>
      </w:r>
      <w:bookmarkStart w:id="9" w:name="OLE_LINK53"/>
      <w:bookmarkStart w:id="10" w:name="OLE_LINK48"/>
      <w:r>
        <w:rPr>
          <w:rFonts w:ascii="Times New Roman" w:hAnsi="Times New Roman"/>
          <w:sz w:val="28"/>
          <w:szCs w:val="28"/>
        </w:rPr>
        <w:t>张彦军、</w:t>
      </w:r>
      <w:bookmarkEnd w:id="9"/>
      <w:bookmarkEnd w:id="10"/>
      <w:bookmarkStart w:id="11" w:name="OLE_LINK54"/>
      <w:bookmarkStart w:id="12" w:name="OLE_LINK55"/>
      <w:r>
        <w:rPr>
          <w:rFonts w:ascii="Times New Roman" w:hAnsi="Times New Roman"/>
          <w:sz w:val="28"/>
          <w:szCs w:val="28"/>
        </w:rPr>
        <w:t>潘鹏、</w:t>
      </w:r>
      <w:bookmarkEnd w:id="11"/>
      <w:bookmarkEnd w:id="12"/>
      <w:r>
        <w:rPr>
          <w:rFonts w:ascii="Times New Roman" w:hAnsi="Times New Roman"/>
          <w:sz w:val="28"/>
          <w:szCs w:val="28"/>
        </w:rPr>
        <w:t>张滨、齐春雨、</w:t>
      </w:r>
      <w:bookmarkStart w:id="13" w:name="OLE_LINK58"/>
      <w:r>
        <w:rPr>
          <w:rFonts w:hint="eastAsia" w:ascii="Times New Roman" w:hAnsi="Times New Roman"/>
          <w:sz w:val="28"/>
          <w:szCs w:val="28"/>
        </w:rPr>
        <w:t>齐统祥</w:t>
      </w:r>
      <w:r>
        <w:rPr>
          <w:rFonts w:ascii="Times New Roman" w:hAnsi="Times New Roman"/>
          <w:sz w:val="28"/>
          <w:szCs w:val="28"/>
        </w:rPr>
        <w:t>、王生军、</w:t>
      </w:r>
      <w:bookmarkEnd w:id="13"/>
      <w:bookmarkStart w:id="14" w:name="OLE_LINK6"/>
      <w:bookmarkStart w:id="15" w:name="OLE_LINK9"/>
      <w:r>
        <w:rPr>
          <w:rFonts w:ascii="Times New Roman" w:hAnsi="Times New Roman"/>
          <w:sz w:val="28"/>
          <w:szCs w:val="28"/>
        </w:rPr>
        <w:t>吕绍军、</w:t>
      </w:r>
      <w:bookmarkEnd w:id="14"/>
      <w:bookmarkEnd w:id="15"/>
      <w:bookmarkStart w:id="16" w:name="OLE_LINK60"/>
      <w:bookmarkStart w:id="17" w:name="OLE_LINK59"/>
      <w:r>
        <w:rPr>
          <w:rFonts w:ascii="Times New Roman" w:hAnsi="Times New Roman"/>
          <w:sz w:val="28"/>
          <w:szCs w:val="28"/>
        </w:rPr>
        <w:t>高岩、</w:t>
      </w:r>
      <w:bookmarkEnd w:id="16"/>
      <w:bookmarkEnd w:id="17"/>
      <w:bookmarkStart w:id="18" w:name="OLE_LINK65"/>
      <w:bookmarkStart w:id="19" w:name="OLE_LINK66"/>
      <w:r>
        <w:rPr>
          <w:rFonts w:ascii="Times New Roman" w:hAnsi="Times New Roman"/>
          <w:sz w:val="28"/>
          <w:szCs w:val="28"/>
        </w:rPr>
        <w:t>李廷瑞、</w:t>
      </w:r>
      <w:bookmarkEnd w:id="18"/>
      <w:bookmarkEnd w:id="19"/>
      <w:bookmarkStart w:id="20" w:name="OLE_LINK22"/>
      <w:bookmarkStart w:id="21" w:name="OLE_LINK21"/>
      <w:r>
        <w:rPr>
          <w:rFonts w:ascii="Times New Roman" w:hAnsi="Times New Roman"/>
          <w:sz w:val="28"/>
          <w:szCs w:val="28"/>
        </w:rPr>
        <w:t>张亭</w:t>
      </w:r>
      <w:bookmarkEnd w:id="20"/>
      <w:bookmarkEnd w:id="21"/>
      <w:bookmarkStart w:id="22" w:name="OLE_LINK62"/>
      <w:bookmarkStart w:id="23" w:name="OLE_LINK61"/>
      <w:r>
        <w:rPr>
          <w:rFonts w:ascii="Times New Roman" w:hAnsi="Times New Roman"/>
          <w:sz w:val="28"/>
          <w:szCs w:val="28"/>
        </w:rPr>
        <w:t>、</w:t>
      </w:r>
      <w:bookmarkEnd w:id="22"/>
      <w:bookmarkEnd w:id="23"/>
      <w:bookmarkStart w:id="24" w:name="OLE_LINK64"/>
      <w:bookmarkStart w:id="25" w:name="OLE_LINK63"/>
      <w:r>
        <w:rPr>
          <w:rFonts w:ascii="Times New Roman" w:hAnsi="Times New Roman"/>
          <w:sz w:val="28"/>
          <w:szCs w:val="28"/>
        </w:rPr>
        <w:t>吴宗凯、</w:t>
      </w:r>
      <w:bookmarkEnd w:id="24"/>
      <w:bookmarkEnd w:id="25"/>
      <w:bookmarkStart w:id="26" w:name="OLE_LINK23"/>
      <w:bookmarkStart w:id="27" w:name="OLE_LINK24"/>
      <w:r>
        <w:rPr>
          <w:rFonts w:ascii="Times New Roman" w:hAnsi="Times New Roman"/>
          <w:sz w:val="28"/>
          <w:szCs w:val="28"/>
        </w:rPr>
        <w:t>杨丰茂</w:t>
      </w:r>
      <w:bookmarkEnd w:id="26"/>
      <w:bookmarkEnd w:id="27"/>
      <w:r>
        <w:rPr>
          <w:rFonts w:ascii="Times New Roman" w:hAnsi="Times New Roman"/>
          <w:sz w:val="28"/>
          <w:szCs w:val="28"/>
        </w:rPr>
        <w:t>、</w:t>
      </w:r>
      <w:bookmarkStart w:id="28" w:name="OLE_LINK69"/>
      <w:r>
        <w:rPr>
          <w:rFonts w:ascii="Times New Roman" w:hAnsi="Times New Roman"/>
          <w:sz w:val="28"/>
          <w:szCs w:val="28"/>
        </w:rPr>
        <w:t>殷丽强、</w:t>
      </w:r>
      <w:bookmarkEnd w:id="28"/>
      <w:bookmarkStart w:id="29" w:name="OLE_LINK67"/>
      <w:bookmarkStart w:id="30" w:name="OLE_LINK68"/>
      <w:r>
        <w:rPr>
          <w:rFonts w:ascii="Times New Roman" w:hAnsi="Times New Roman"/>
          <w:sz w:val="28"/>
          <w:szCs w:val="28"/>
        </w:rPr>
        <w:t>侯剑、</w:t>
      </w:r>
      <w:bookmarkEnd w:id="29"/>
      <w:bookmarkEnd w:id="30"/>
      <w:bookmarkStart w:id="31" w:name="OLE_LINK71"/>
      <w:bookmarkStart w:id="32" w:name="OLE_LINK70"/>
      <w:r>
        <w:rPr>
          <w:rFonts w:ascii="Times New Roman" w:hAnsi="Times New Roman"/>
          <w:sz w:val="28"/>
          <w:szCs w:val="28"/>
        </w:rPr>
        <w:t>特金威</w:t>
      </w:r>
      <w:bookmarkEnd w:id="31"/>
      <w:bookmarkEnd w:id="32"/>
      <w:bookmarkStart w:id="33" w:name="OLE_LINK72"/>
      <w:bookmarkStart w:id="34" w:name="OLE_LINK73"/>
      <w:r>
        <w:rPr>
          <w:rFonts w:ascii="Times New Roman" w:hAnsi="Times New Roman"/>
          <w:sz w:val="28"/>
          <w:szCs w:val="28"/>
        </w:rPr>
        <w:t>、强大宏、</w:t>
      </w:r>
      <w:bookmarkStart w:id="35" w:name="OLE_LINK141"/>
      <w:bookmarkStart w:id="36" w:name="OLE_LINK142"/>
      <w:r>
        <w:rPr>
          <w:rFonts w:ascii="Times New Roman" w:hAnsi="Times New Roman"/>
          <w:sz w:val="28"/>
          <w:szCs w:val="28"/>
        </w:rPr>
        <w:t>丁雅豪</w:t>
      </w:r>
      <w:bookmarkEnd w:id="33"/>
      <w:bookmarkEnd w:id="34"/>
      <w:bookmarkEnd w:id="35"/>
      <w:bookmarkEnd w:id="36"/>
    </w:p>
    <w:p w14:paraId="2D600A17">
      <w:pPr>
        <w:pStyle w:val="7"/>
        <w:widowControl/>
        <w:spacing w:beforeAutospacing="0" w:after="160" w:afterAutospacing="0" w:line="4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项目成果简介：</w:t>
      </w:r>
    </w:p>
    <w:p w14:paraId="6C9D699E"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本成果针对</w:t>
      </w:r>
      <w:r>
        <w:rPr>
          <w:rFonts w:ascii="Times New Roman" w:hAnsi="Times New Roman" w:cs="Times New Roman"/>
          <w:sz w:val="28"/>
        </w:rPr>
        <w:t>黄土高原生态脆弱区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然条件严酷、生态环境脆弱、植被重构困难、人为扰动频繁等特点，植被结构不尽合理、弱化退化严重、生态服务功能衰退的现实，基于生态安全、环境改善、资源开发和可持续发展，以水分运移为轴线、“以水定绿”为底线、生态服务功能持续提升为天顶，系统研究了植被结构、功能、效应及其制约因素、演变机制、耦合关系，在区域植被重构植物材料优选及景观配置、林分密度调控及植被覆盖率确定、种苗抗逆保活强化处理、低质低效植被提质增效等关键技术集成和理论创新取得了重要进展。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该成果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技术体系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如下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E4BB8FD">
      <w:pPr>
        <w:ind w:firstLine="562" w:firstLineChars="200"/>
        <w:rPr>
          <w:rFonts w:ascii="Times New Roman" w:hAnsi="Times New Roman"/>
          <w:sz w:val="28"/>
          <w:szCs w:val="28"/>
        </w:rPr>
      </w:pPr>
      <w:bookmarkStart w:id="37" w:name="_Toc222475699"/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植被重构植物材料优选及景观配置关键技术</w:t>
      </w:r>
      <w:bookmarkEnd w:id="37"/>
      <w:bookmarkStart w:id="38" w:name="_Toc222475700"/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植被物种构成及群落演替特征</w:t>
      </w:r>
      <w:bookmarkEnd w:id="38"/>
      <w:bookmarkStart w:id="39" w:name="_Toc222475701"/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区域植被重构主要植物材料优选</w:t>
      </w:r>
      <w:bookmarkEnd w:id="39"/>
      <w:bookmarkStart w:id="40" w:name="_Toc222475702"/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植被重构立地划分及植物配置技术。</w:t>
      </w:r>
      <w:bookmarkEnd w:id="40"/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41" w:name="_Toc222475703"/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植被重构密度调控及覆盖率确定技术</w:t>
      </w:r>
      <w:bookmarkEnd w:id="41"/>
      <w:r>
        <w:rPr>
          <w:rFonts w:hint="eastAsia" w:ascii="Times New Roman" w:hAnsi="Times New Roman"/>
          <w:sz w:val="28"/>
          <w:szCs w:val="28"/>
        </w:rPr>
        <w:t>：</w:t>
      </w:r>
      <w:bookmarkStart w:id="42" w:name="_Toc222475704"/>
      <w:r>
        <w:rPr>
          <w:rFonts w:ascii="Times New Roman" w:hAnsi="Times New Roman"/>
          <w:sz w:val="28"/>
          <w:szCs w:val="28"/>
        </w:rPr>
        <w:t>人工植被重构密度调控关键技术</w:t>
      </w:r>
      <w:bookmarkEnd w:id="42"/>
      <w:bookmarkStart w:id="43" w:name="_Toc222475705"/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人工植被重构覆盖率确定关键技术</w:t>
      </w:r>
      <w:bookmarkEnd w:id="43"/>
      <w:bookmarkStart w:id="44" w:name="_Toc222475707"/>
      <w:r>
        <w:rPr>
          <w:rFonts w:ascii="Times New Roman" w:hAnsi="Times New Roman"/>
          <w:sz w:val="28"/>
          <w:szCs w:val="28"/>
        </w:rPr>
        <w:t>。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b/>
          <w:sz w:val="28"/>
          <w:szCs w:val="28"/>
        </w:rPr>
        <w:t>植被恢复种苗抗逆保活强化处理技术</w:t>
      </w:r>
      <w:bookmarkEnd w:id="44"/>
      <w:r>
        <w:rPr>
          <w:rFonts w:hint="eastAsia" w:ascii="Times New Roman" w:hAnsi="Times New Roman"/>
          <w:sz w:val="28"/>
          <w:szCs w:val="28"/>
        </w:rPr>
        <w:t>：</w:t>
      </w:r>
      <w:bookmarkStart w:id="45" w:name="_Toc222475708"/>
      <w:r>
        <w:rPr>
          <w:rFonts w:ascii="Times New Roman" w:hAnsi="Times New Roman"/>
          <w:sz w:val="28"/>
          <w:szCs w:val="28"/>
        </w:rPr>
        <w:t>沙棘良种壮苗快速繁育关键技术</w:t>
      </w:r>
      <w:bookmarkEnd w:id="45"/>
      <w:r>
        <w:rPr>
          <w:rFonts w:hint="eastAsia" w:ascii="Times New Roman" w:hAnsi="Times New Roman"/>
          <w:sz w:val="28"/>
          <w:szCs w:val="28"/>
        </w:rPr>
        <w:t>、</w:t>
      </w:r>
      <w:bookmarkStart w:id="46" w:name="_Toc222475709"/>
      <w:r>
        <w:rPr>
          <w:rFonts w:ascii="Times New Roman" w:hAnsi="Times New Roman"/>
          <w:sz w:val="28"/>
          <w:szCs w:val="28"/>
        </w:rPr>
        <w:t>植被重构种子活力延存关键技术</w:t>
      </w:r>
      <w:bookmarkEnd w:id="46"/>
      <w:bookmarkStart w:id="47" w:name="_Toc222475710"/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植被重构造林种苗处理关键技术</w:t>
      </w:r>
      <w:bookmarkEnd w:id="47"/>
      <w:r>
        <w:rPr>
          <w:rFonts w:ascii="Times New Roman" w:hAnsi="Times New Roman"/>
          <w:sz w:val="28"/>
          <w:szCs w:val="28"/>
        </w:rPr>
        <w:t>。</w:t>
      </w:r>
      <w:bookmarkStart w:id="48" w:name="_Toc222475711"/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49" w:name="_Toc222475715"/>
      <w:r>
        <w:rPr>
          <w:rFonts w:ascii="Times New Roman" w:hAnsi="Times New Roman" w:cs="Times New Roman"/>
          <w:b/>
          <w:sz w:val="28"/>
          <w:szCs w:val="28"/>
        </w:rPr>
        <w:t>低质低效植被提质增效关键技术</w:t>
      </w:r>
      <w:bookmarkEnd w:id="49"/>
      <w:r>
        <w:rPr>
          <w:rFonts w:hint="eastAsia" w:ascii="Times New Roman" w:hAnsi="Times New Roman"/>
          <w:sz w:val="28"/>
          <w:szCs w:val="28"/>
        </w:rPr>
        <w:t>：</w:t>
      </w:r>
      <w:bookmarkStart w:id="50" w:name="_Toc222475716"/>
      <w:r>
        <w:rPr>
          <w:rFonts w:ascii="Times New Roman" w:hAnsi="Times New Roman"/>
          <w:sz w:val="28"/>
          <w:szCs w:val="28"/>
        </w:rPr>
        <w:t>退耕还林低效沙棘林改造关键技术</w:t>
      </w:r>
      <w:bookmarkEnd w:id="50"/>
      <w:bookmarkStart w:id="51" w:name="_Toc222475717"/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退耕还林低效沙棘林改造关键技术</w:t>
      </w:r>
      <w:bookmarkEnd w:id="51"/>
      <w:bookmarkStart w:id="52" w:name="_Toc222475718"/>
      <w:r>
        <w:rPr>
          <w:rFonts w:hint="eastAsia"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稳定高效植被全程经营管理关键技术</w:t>
      </w:r>
      <w:bookmarkEnd w:id="52"/>
      <w:r>
        <w:rPr>
          <w:rFonts w:ascii="Times New Roman" w:hAnsi="Times New Roman"/>
          <w:sz w:val="28"/>
          <w:szCs w:val="28"/>
        </w:rPr>
        <w:t>。</w:t>
      </w:r>
    </w:p>
    <w:p w14:paraId="53C64DD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该成果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或软著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余件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、标准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10部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、品种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12个、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23种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论著120余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(部)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构成的黄土高原生态脆弱区植被重构或恢复关键技术体系，通过试验示范区建设、技术咨询、人员培训、现场指导、国际交流等具体措施，并与国家和地方生态工程建设项目密切结合，在晋陕蒙等地大面积推广应用，生态、经济、社会等综合效益显著。</w:t>
      </w:r>
      <w:bookmarkEnd w:id="48"/>
    </w:p>
    <w:sectPr>
      <w:footerReference r:id="rId3" w:type="default"/>
      <w:pgSz w:w="11906" w:h="16838"/>
      <w:pgMar w:top="1531" w:right="1474" w:bottom="1418" w:left="1474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606735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A22AF06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B5993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2F"/>
    <w:rsid w:val="00046522"/>
    <w:rsid w:val="00056B24"/>
    <w:rsid w:val="00062FD3"/>
    <w:rsid w:val="000C1DEF"/>
    <w:rsid w:val="00103515"/>
    <w:rsid w:val="00105496"/>
    <w:rsid w:val="001415CE"/>
    <w:rsid w:val="001B0DF8"/>
    <w:rsid w:val="001B5EAE"/>
    <w:rsid w:val="001D3CAD"/>
    <w:rsid w:val="001F3A9D"/>
    <w:rsid w:val="002D33D0"/>
    <w:rsid w:val="002F41EE"/>
    <w:rsid w:val="0033089F"/>
    <w:rsid w:val="00345B8B"/>
    <w:rsid w:val="003B3154"/>
    <w:rsid w:val="003C1E68"/>
    <w:rsid w:val="003C2DD9"/>
    <w:rsid w:val="00430322"/>
    <w:rsid w:val="00483861"/>
    <w:rsid w:val="0048516D"/>
    <w:rsid w:val="00487C2F"/>
    <w:rsid w:val="005129B3"/>
    <w:rsid w:val="00542E8A"/>
    <w:rsid w:val="0056312F"/>
    <w:rsid w:val="00585AF7"/>
    <w:rsid w:val="005C17C8"/>
    <w:rsid w:val="005D5974"/>
    <w:rsid w:val="006527AC"/>
    <w:rsid w:val="006673AC"/>
    <w:rsid w:val="006857B4"/>
    <w:rsid w:val="006B33F0"/>
    <w:rsid w:val="006C5073"/>
    <w:rsid w:val="006C5D63"/>
    <w:rsid w:val="00700468"/>
    <w:rsid w:val="00703ED7"/>
    <w:rsid w:val="007209E4"/>
    <w:rsid w:val="007211D4"/>
    <w:rsid w:val="00773D5E"/>
    <w:rsid w:val="007B020D"/>
    <w:rsid w:val="007B4B8C"/>
    <w:rsid w:val="007B76A3"/>
    <w:rsid w:val="007C6120"/>
    <w:rsid w:val="007D3FCA"/>
    <w:rsid w:val="007E1FAB"/>
    <w:rsid w:val="007F55DF"/>
    <w:rsid w:val="00810698"/>
    <w:rsid w:val="00813A4B"/>
    <w:rsid w:val="00830853"/>
    <w:rsid w:val="00830FF3"/>
    <w:rsid w:val="00860258"/>
    <w:rsid w:val="008933B6"/>
    <w:rsid w:val="008A1E9F"/>
    <w:rsid w:val="008A597C"/>
    <w:rsid w:val="008B11D0"/>
    <w:rsid w:val="008B590B"/>
    <w:rsid w:val="008D22AB"/>
    <w:rsid w:val="009E7D43"/>
    <w:rsid w:val="00A244D2"/>
    <w:rsid w:val="00A65A5C"/>
    <w:rsid w:val="00AC3A3C"/>
    <w:rsid w:val="00B17259"/>
    <w:rsid w:val="00B93866"/>
    <w:rsid w:val="00BB571C"/>
    <w:rsid w:val="00BE3F14"/>
    <w:rsid w:val="00BF75DD"/>
    <w:rsid w:val="00C01AFC"/>
    <w:rsid w:val="00C43727"/>
    <w:rsid w:val="00C7350C"/>
    <w:rsid w:val="00CF003B"/>
    <w:rsid w:val="00D15FC1"/>
    <w:rsid w:val="00D65DB0"/>
    <w:rsid w:val="00D87DFF"/>
    <w:rsid w:val="00DB33BC"/>
    <w:rsid w:val="00E056F1"/>
    <w:rsid w:val="00E1514B"/>
    <w:rsid w:val="00E80E98"/>
    <w:rsid w:val="00E84291"/>
    <w:rsid w:val="00EB5083"/>
    <w:rsid w:val="00EC77D5"/>
    <w:rsid w:val="00F10979"/>
    <w:rsid w:val="00F53ED4"/>
    <w:rsid w:val="00FB0D76"/>
    <w:rsid w:val="00FB1BF4"/>
    <w:rsid w:val="00FC638A"/>
    <w:rsid w:val="00FE3A51"/>
    <w:rsid w:val="00FE7E68"/>
    <w:rsid w:val="00FF09C9"/>
    <w:rsid w:val="00FF6F12"/>
    <w:rsid w:val="1D6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纯文本 Char"/>
    <w:basedOn w:val="9"/>
    <w:link w:val="4"/>
    <w:uiPriority w:val="0"/>
    <w:rPr>
      <w:rFonts w:ascii="仿宋_GB2312"/>
      <w:sz w:val="24"/>
      <w:szCs w:val="24"/>
    </w:rPr>
  </w:style>
  <w:style w:type="character" w:customStyle="1" w:styleId="12">
    <w:name w:val="页脚 Char"/>
    <w:basedOn w:val="9"/>
    <w:link w:val="5"/>
    <w:uiPriority w:val="99"/>
    <w:rPr>
      <w:sz w:val="18"/>
      <w:szCs w:val="24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标题 3 Char"/>
    <w:basedOn w:val="9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页眉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8DF7-B2D8-4E56-8F70-0C25601F2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952</Words>
  <Characters>966</Characters>
  <Lines>6</Lines>
  <Paragraphs>1</Paragraphs>
  <TotalTime>11</TotalTime>
  <ScaleCrop>false</ScaleCrop>
  <LinksUpToDate>false</LinksUpToDate>
  <CharactersWithSpaces>966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2026-02-25T01:00:00Z</dcterms:created>
  <dc:creator>dreamsummit</dc:creator>
  <cp:lastModifiedBy>李文华</cp:lastModifiedBy>
  <cp:lastPrinted>2026-02-22T02:50:00Z</cp:lastPrinted>
  <dcterms:modified xsi:type="dcterms:W3CDTF">2026-02-25T08:09:44Z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EBF70A5712254372B4109681D159DB26_13</vt:lpwstr>
  </property>
</Properties>
</file>